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44"/>
          <w:szCs w:val="4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52"/>
          <w:szCs w:val="52"/>
          <w:shd w:val="clear" w:fill="FFFFFF"/>
        </w:rPr>
      </w:pPr>
      <w:r>
        <w:rPr>
          <w:rStyle w:val="5"/>
          <w:rFonts w:hint="eastAsia" w:ascii="方正小标宋简体" w:hAnsi="方正小标宋简体" w:eastAsia="方正小标宋简体" w:cs="方正小标宋简体"/>
          <w:i w:val="0"/>
          <w:iCs w:val="0"/>
          <w:caps w:val="0"/>
          <w:color w:val="auto"/>
          <w:spacing w:val="15"/>
          <w:sz w:val="52"/>
          <w:szCs w:val="52"/>
          <w:shd w:val="clear" w:fill="FFFFFF"/>
        </w:rPr>
        <w:t>南阳市优化营商环境条例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eastAsia" w:ascii="方正小标宋简体" w:hAnsi="方正小标宋简体" w:eastAsia="方正小标宋简体" w:cs="方正小标宋简体"/>
          <w:i w:val="0"/>
          <w:iCs w:val="0"/>
          <w:caps w:val="0"/>
          <w:color w:val="auto"/>
          <w:spacing w:val="15"/>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Style w:val="5"/>
          <w:rFonts w:hint="eastAsia" w:ascii="方正小标宋简体" w:hAnsi="方正小标宋简体" w:eastAsia="方正小标宋简体" w:cs="方正小标宋简体"/>
          <w:i w:val="0"/>
          <w:iCs w:val="0"/>
          <w:caps w:val="0"/>
          <w:color w:val="auto"/>
          <w:spacing w:val="15"/>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楷体" w:hAnsi="楷体" w:eastAsia="楷体" w:cs="楷体"/>
          <w:i w:val="0"/>
          <w:iCs w:val="0"/>
          <w:caps w:val="0"/>
          <w:color w:val="auto"/>
          <w:spacing w:val="8"/>
          <w:sz w:val="32"/>
          <w:szCs w:val="32"/>
        </w:rPr>
      </w:pPr>
      <w:r>
        <w:rPr>
          <w:rFonts w:hint="eastAsia" w:ascii="楷体" w:hAnsi="楷体" w:eastAsia="楷体" w:cs="楷体"/>
          <w:i w:val="0"/>
          <w:iCs w:val="0"/>
          <w:caps w:val="0"/>
          <w:color w:val="auto"/>
          <w:spacing w:val="15"/>
          <w:sz w:val="32"/>
          <w:szCs w:val="32"/>
          <w:shd w:val="clear" w:fill="FFFFFF"/>
        </w:rPr>
        <w:t>（2022年6月22日南阳市第六届人民代表大会常务委员会第三十五次会议通过</w:t>
      </w:r>
      <w:r>
        <w:rPr>
          <w:rFonts w:hint="eastAsia" w:ascii="楷体" w:hAnsi="楷体" w:eastAsia="楷体" w:cs="楷体"/>
          <w:i w:val="0"/>
          <w:iCs w:val="0"/>
          <w:caps w:val="0"/>
          <w:color w:val="auto"/>
          <w:spacing w:val="15"/>
          <w:sz w:val="32"/>
          <w:szCs w:val="32"/>
          <w:shd w:val="clear" w:fill="FFFFFF"/>
          <w:lang w:val="en-US" w:eastAsia="zh-CN"/>
        </w:rPr>
        <w:t xml:space="preserve"> </w:t>
      </w:r>
      <w:r>
        <w:rPr>
          <w:rFonts w:hint="eastAsia" w:ascii="楷体" w:hAnsi="楷体" w:eastAsia="楷体" w:cs="楷体"/>
          <w:i w:val="0"/>
          <w:iCs w:val="0"/>
          <w:caps w:val="0"/>
          <w:color w:val="auto"/>
          <w:spacing w:val="15"/>
          <w:sz w:val="32"/>
          <w:szCs w:val="32"/>
          <w:shd w:val="clear" w:fill="FFFFFF"/>
        </w:rPr>
        <w:t>2022年7月30日河南省第十三届人民代表大会常务委员会第三十四次会议批准）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default" w:ascii="Helvetica" w:hAnsi="Helvetica" w:eastAsia="Helvetica" w:cs="Helvetica"/>
          <w:i w:val="0"/>
          <w:iCs w:val="0"/>
          <w:caps w:val="0"/>
          <w:color w:val="404040"/>
          <w:spacing w:val="15"/>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Style w:val="5"/>
          <w:rFonts w:hint="default" w:ascii="Helvetica" w:hAnsi="Helvetica" w:eastAsia="Helvetica" w:cs="Helvetica"/>
          <w:i w:val="0"/>
          <w:iCs w:val="0"/>
          <w:caps w:val="0"/>
          <w:color w:val="404040"/>
          <w:spacing w:val="15"/>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Style w:val="5"/>
          <w:rFonts w:hint="default" w:ascii="Helvetica" w:hAnsi="Helvetica" w:eastAsia="Helvetica" w:cs="Helvetica"/>
          <w:i w:val="0"/>
          <w:iCs w:val="0"/>
          <w:caps w:val="0"/>
          <w:color w:val="404040"/>
          <w:spacing w:val="15"/>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Style w:val="5"/>
          <w:rFonts w:hint="default" w:ascii="Helvetica" w:hAnsi="Helvetica" w:eastAsia="Helvetica" w:cs="Helvetica"/>
          <w:i w:val="0"/>
          <w:iCs w:val="0"/>
          <w:caps w:val="0"/>
          <w:color w:val="404040"/>
          <w:spacing w:val="15"/>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Fonts w:hint="eastAsia" w:ascii="黑体" w:hAnsi="黑体" w:eastAsia="黑体" w:cs="黑体"/>
          <w:i w:val="0"/>
          <w:iCs w:val="0"/>
          <w:caps w:val="0"/>
          <w:color w:val="222222"/>
          <w:spacing w:val="8"/>
          <w:sz w:val="32"/>
          <w:szCs w:val="32"/>
        </w:rPr>
      </w:pPr>
      <w:r>
        <w:rPr>
          <w:rStyle w:val="5"/>
          <w:rFonts w:hint="eastAsia" w:ascii="黑体" w:hAnsi="黑体" w:eastAsia="黑体" w:cs="黑体"/>
          <w:i w:val="0"/>
          <w:iCs w:val="0"/>
          <w:caps w:val="0"/>
          <w:color w:val="404040"/>
          <w:spacing w:val="15"/>
          <w:sz w:val="32"/>
          <w:szCs w:val="32"/>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right="0"/>
        <w:jc w:val="center"/>
        <w:rPr>
          <w:rFonts w:hint="eastAsia" w:ascii="Microsoft YaHei UI" w:hAnsi="Microsoft YaHei UI" w:eastAsia="Microsoft YaHei UI" w:cs="Microsoft YaHei UI"/>
          <w:i w:val="0"/>
          <w:iCs w:val="0"/>
          <w:caps w:val="0"/>
          <w:color w:val="222222"/>
          <w:spacing w:val="8"/>
          <w:sz w:val="25"/>
          <w:szCs w:val="25"/>
        </w:rPr>
      </w:pPr>
      <w:r>
        <w:rPr>
          <w:rStyle w:val="5"/>
          <w:rFonts w:hint="default" w:ascii="Helvetica" w:hAnsi="Helvetica" w:eastAsia="Helvetica" w:cs="Helvetica"/>
          <w:i w:val="0"/>
          <w:iCs w:val="0"/>
          <w:caps w:val="0"/>
          <w:color w:val="404040"/>
          <w:spacing w:val="15"/>
          <w:sz w:val="25"/>
          <w:szCs w:val="25"/>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right="0"/>
        <w:jc w:val="center"/>
        <w:rPr>
          <w:rFonts w:hint="eastAsia" w:ascii="Microsoft YaHei UI" w:hAnsi="Microsoft YaHei UI" w:eastAsia="Microsoft YaHei UI" w:cs="Microsoft YaHei UI"/>
          <w:i w:val="0"/>
          <w:iCs w:val="0"/>
          <w:caps w:val="0"/>
          <w:color w:val="222222"/>
          <w:spacing w:val="8"/>
          <w:sz w:val="25"/>
          <w:szCs w:val="25"/>
        </w:rPr>
      </w:pPr>
      <w:r>
        <w:rPr>
          <w:rStyle w:val="5"/>
          <w:rFonts w:hint="default" w:ascii="Helvetica" w:hAnsi="Helvetica" w:eastAsia="Helvetica" w:cs="Helvetica"/>
          <w:i w:val="0"/>
          <w:iCs w:val="0"/>
          <w:caps w:val="0"/>
          <w:color w:val="404040"/>
          <w:spacing w:val="15"/>
          <w:sz w:val="25"/>
          <w:szCs w:val="25"/>
          <w:shd w:val="clear" w:fill="FFFFFF"/>
        </w:rPr>
        <w:t>第二章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right="0"/>
        <w:jc w:val="center"/>
        <w:rPr>
          <w:rFonts w:hint="eastAsia" w:ascii="Microsoft YaHei UI" w:hAnsi="Microsoft YaHei UI" w:eastAsia="Microsoft YaHei UI" w:cs="Microsoft YaHei UI"/>
          <w:i w:val="0"/>
          <w:iCs w:val="0"/>
          <w:caps w:val="0"/>
          <w:color w:val="222222"/>
          <w:spacing w:val="8"/>
          <w:sz w:val="25"/>
          <w:szCs w:val="25"/>
        </w:rPr>
      </w:pPr>
      <w:r>
        <w:rPr>
          <w:rStyle w:val="5"/>
          <w:rFonts w:hint="default" w:ascii="Helvetica" w:hAnsi="Helvetica" w:eastAsia="Helvetica" w:cs="Helvetica"/>
          <w:i w:val="0"/>
          <w:iCs w:val="0"/>
          <w:caps w:val="0"/>
          <w:color w:val="404040"/>
          <w:spacing w:val="15"/>
          <w:sz w:val="25"/>
          <w:szCs w:val="25"/>
          <w:shd w:val="clear" w:fill="FFFFFF"/>
        </w:rPr>
        <w:t>第三章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right="0"/>
        <w:jc w:val="center"/>
        <w:rPr>
          <w:rFonts w:hint="eastAsia" w:ascii="Microsoft YaHei UI" w:hAnsi="Microsoft YaHei UI" w:eastAsia="Microsoft YaHei UI" w:cs="Microsoft YaHei UI"/>
          <w:i w:val="0"/>
          <w:iCs w:val="0"/>
          <w:caps w:val="0"/>
          <w:color w:val="222222"/>
          <w:spacing w:val="8"/>
          <w:sz w:val="25"/>
          <w:szCs w:val="25"/>
        </w:rPr>
      </w:pPr>
      <w:r>
        <w:rPr>
          <w:rStyle w:val="5"/>
          <w:rFonts w:hint="default" w:ascii="Helvetica" w:hAnsi="Helvetica" w:eastAsia="Helvetica" w:cs="Helvetica"/>
          <w:i w:val="0"/>
          <w:iCs w:val="0"/>
          <w:caps w:val="0"/>
          <w:color w:val="404040"/>
          <w:spacing w:val="15"/>
          <w:sz w:val="25"/>
          <w:szCs w:val="25"/>
          <w:shd w:val="clear" w:fill="FFFFFF"/>
        </w:rPr>
        <w:t>第四章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right="0"/>
        <w:jc w:val="center"/>
        <w:rPr>
          <w:rFonts w:hint="eastAsia" w:ascii="Microsoft YaHei UI" w:hAnsi="Microsoft YaHei UI" w:eastAsia="Microsoft YaHei UI" w:cs="Microsoft YaHei UI"/>
          <w:i w:val="0"/>
          <w:iCs w:val="0"/>
          <w:caps w:val="0"/>
          <w:color w:val="222222"/>
          <w:spacing w:val="8"/>
          <w:sz w:val="25"/>
          <w:szCs w:val="25"/>
        </w:rPr>
      </w:pPr>
      <w:r>
        <w:rPr>
          <w:rStyle w:val="5"/>
          <w:rFonts w:hint="default" w:ascii="Helvetica" w:hAnsi="Helvetica" w:eastAsia="Helvetica" w:cs="Helvetica"/>
          <w:i w:val="0"/>
          <w:iCs w:val="0"/>
          <w:caps w:val="0"/>
          <w:color w:val="404040"/>
          <w:spacing w:val="15"/>
          <w:sz w:val="25"/>
          <w:szCs w:val="25"/>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right="0"/>
        <w:jc w:val="center"/>
        <w:rPr>
          <w:rFonts w:hint="eastAsia" w:ascii="Microsoft YaHei UI" w:hAnsi="Microsoft YaHei UI" w:eastAsia="Microsoft YaHei UI" w:cs="Microsoft YaHei UI"/>
          <w:i w:val="0"/>
          <w:iCs w:val="0"/>
          <w:caps w:val="0"/>
          <w:color w:val="222222"/>
          <w:spacing w:val="8"/>
          <w:sz w:val="25"/>
          <w:szCs w:val="25"/>
        </w:rPr>
      </w:pPr>
      <w:r>
        <w:rPr>
          <w:rStyle w:val="5"/>
          <w:rFonts w:hint="default" w:ascii="Helvetica" w:hAnsi="Helvetica" w:eastAsia="Helvetica" w:cs="Helvetica"/>
          <w:i w:val="0"/>
          <w:iCs w:val="0"/>
          <w:caps w:val="0"/>
          <w:color w:val="404040"/>
          <w:spacing w:val="15"/>
          <w:sz w:val="25"/>
          <w:szCs w:val="25"/>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第一条</w:t>
      </w:r>
      <w:r>
        <w:rPr>
          <w:rFonts w:hint="eastAsia" w:ascii="仿宋_GB2312" w:hAnsi="仿宋_GB2312" w:eastAsia="仿宋_GB2312" w:cs="仿宋_GB2312"/>
          <w:i w:val="0"/>
          <w:iCs w:val="0"/>
          <w:caps w:val="0"/>
          <w:color w:val="auto"/>
          <w:spacing w:val="15"/>
          <w:sz w:val="32"/>
          <w:szCs w:val="32"/>
          <w:shd w:val="clear" w:fill="FFFFFF"/>
        </w:rPr>
        <w:t>为了持续优化营商环境，高质量建设河南省副中心城市和豫南高效生态经济示范区，推进治理体系和治理能力现代化，平等保护各类市场主体的合法权益,充分激发市场活力，根据《优化营商环境条例》《河南省优化营商环境条例》等法律、法规，结合本市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第二条</w:t>
      </w:r>
      <w:r>
        <w:rPr>
          <w:rFonts w:hint="eastAsia" w:ascii="仿宋_GB2312" w:hAnsi="仿宋_GB2312" w:eastAsia="仿宋_GB2312" w:cs="仿宋_GB2312"/>
          <w:i w:val="0"/>
          <w:iCs w:val="0"/>
          <w:caps w:val="0"/>
          <w:color w:val="auto"/>
          <w:spacing w:val="15"/>
          <w:sz w:val="32"/>
          <w:szCs w:val="32"/>
          <w:shd w:val="clear" w:fill="FFFFFF"/>
        </w:rPr>
        <w:t>本市行政区域内的优化营商环境工作,适用本条例。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第三条</w:t>
      </w:r>
      <w:r>
        <w:rPr>
          <w:rFonts w:hint="eastAsia" w:ascii="仿宋_GB2312" w:hAnsi="仿宋_GB2312" w:eastAsia="仿宋_GB2312" w:cs="仿宋_GB2312"/>
          <w:i w:val="0"/>
          <w:iCs w:val="0"/>
          <w:caps w:val="0"/>
          <w:color w:val="auto"/>
          <w:spacing w:val="15"/>
          <w:sz w:val="32"/>
          <w:szCs w:val="32"/>
          <w:shd w:val="clear" w:fill="FFFFFF"/>
        </w:rPr>
        <w:t>优化营商环境应当遵循市场化、法治化、国际化、便利化原则，以市场主体需求为导向，以市场主体满意度为评价依据，以政府职能转变为核心，以审批最少、流程最优、体制最顺、机制最活、效率最高、服务最好、国内一流为目标，践行有求必应、无事不扰的服务理念，建立健全常态化、持续性优化营商环境工作机制，为各类市场主体营造安全稳定、统一开放、公开透明、公平公正、便利快捷、可预期的良好营商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第四条</w:t>
      </w:r>
      <w:r>
        <w:rPr>
          <w:rFonts w:hint="eastAsia" w:ascii="仿宋_GB2312" w:hAnsi="仿宋_GB2312" w:eastAsia="仿宋_GB2312" w:cs="仿宋_GB2312"/>
          <w:i w:val="0"/>
          <w:iCs w:val="0"/>
          <w:caps w:val="0"/>
          <w:color w:val="auto"/>
          <w:spacing w:val="15"/>
          <w:sz w:val="32"/>
          <w:szCs w:val="32"/>
          <w:shd w:val="clear" w:fill="FFFFFF"/>
        </w:rPr>
        <w:t>市场主体在市场经济活动中权利平等、机会平等、规则平等。市场主体和企业经营者的人身权利、财产权利、经营自主权利以及其他合法权益受法律保护，任何单位和个人不得侵犯。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第五条</w:t>
      </w:r>
      <w:r>
        <w:rPr>
          <w:rFonts w:hint="eastAsia" w:ascii="仿宋_GB2312" w:hAnsi="仿宋_GB2312" w:eastAsia="仿宋_GB2312" w:cs="仿宋_GB2312"/>
          <w:i w:val="0"/>
          <w:iCs w:val="0"/>
          <w:caps w:val="0"/>
          <w:color w:val="auto"/>
          <w:spacing w:val="15"/>
          <w:sz w:val="32"/>
          <w:szCs w:val="32"/>
          <w:shd w:val="clear" w:fill="FFFFFF"/>
        </w:rPr>
        <w:t>各级人民政府负责本行政区域内的优化营商环境工作。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发展改革部门是优化营商环境工作的主管部门，负责组织、协调、指导、监督优化营商环境工作。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教育、工业和信息化、公安、司法行政、人力资源社会保障、自然资源和规划、住房城乡建设、商务、卫生健康、市场监管、城市管理、政务服务和大数据管理等部门应当按照各自职责，做好优化营商环境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第六条</w:t>
      </w:r>
      <w:r>
        <w:rPr>
          <w:rFonts w:hint="eastAsia" w:ascii="仿宋_GB2312" w:hAnsi="仿宋_GB2312" w:eastAsia="仿宋_GB2312" w:cs="仿宋_GB2312"/>
          <w:i w:val="0"/>
          <w:iCs w:val="0"/>
          <w:caps w:val="0"/>
          <w:color w:val="auto"/>
          <w:spacing w:val="15"/>
          <w:sz w:val="32"/>
          <w:szCs w:val="32"/>
          <w:shd w:val="clear" w:fill="FFFFFF"/>
        </w:rPr>
        <w:t>市、县(市、区）人民政府应当建立健全优化营商环境考核和激励机制，将优化营商环境工作纳入绩效考核体系，对做出显著成绩的单位和个人按照有关规定给予表彰奖励。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第七条</w:t>
      </w:r>
      <w:r>
        <w:rPr>
          <w:rFonts w:hint="eastAsia" w:ascii="仿宋_GB2312" w:hAnsi="仿宋_GB2312" w:eastAsia="仿宋_GB2312" w:cs="仿宋_GB2312"/>
          <w:i w:val="0"/>
          <w:iCs w:val="0"/>
          <w:caps w:val="0"/>
          <w:color w:val="auto"/>
          <w:spacing w:val="15"/>
          <w:sz w:val="32"/>
          <w:szCs w:val="32"/>
          <w:shd w:val="clear" w:fill="FFFFFF"/>
        </w:rPr>
        <w:t>每年5月18日为南阳企业家节，营造全社会共同尊重、关爱企业家的社会氛围和关心、支持企业发展的鲜明导向，激发和弘扬南阳企业家精神，建设对党忠诚、开放创新、治企有方、兴企有为、专业专注、视野开阔、活力十足、奉献南阳的企业家队伍，彰显和发挥企业家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第二章 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第八条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市、县（市、区）人民政府及其有关部门应当平等对待不同地域、不同所有制市场主体，依法保障各类市场主体获得平等待遇，不得制定和实施歧视性政策。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各类市场主体依法平等适用各类支持发展的政策和措施，依法享有平等使用资金、技术、数据、人力资源、土地使用权及其他自然资源等各类生产要素和用水、用电、用气、用热、通信等公共服务资源的权利。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第九条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招商引资，应当坚持依法依规、平等协商、互利共赢、务求实效原则。投资政策和优惠条件应当符合法律规定并以书面形式承诺。招商引资成果应当向社会公开，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市、县（市、区）人民政府及其有关部门应当建立招商引资项目落地保障机制和承诺办结制度，实行跟踪服务责任制，积极主动帮助推进项目审批和建设。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第十条</w:t>
      </w:r>
      <w:r>
        <w:rPr>
          <w:rFonts w:hint="eastAsia" w:ascii="仿宋_GB2312" w:hAnsi="仿宋_GB2312" w:eastAsia="仿宋_GB2312" w:cs="仿宋_GB2312"/>
          <w:i w:val="0"/>
          <w:iCs w:val="0"/>
          <w:caps w:val="0"/>
          <w:color w:val="auto"/>
          <w:spacing w:val="15"/>
          <w:sz w:val="32"/>
          <w:szCs w:val="32"/>
          <w:shd w:val="clear" w:fill="FFFFFF"/>
        </w:rPr>
        <w:t>各级人民政府应当严格落实节约集约用地制度，完善土地储备制度，加强土地利用年度计划和土地供应计划管理，优化用地审批供应方式，提高项目用地审批供应效率，依法有效保障重点建设项目、基础设施项目和民生工程用地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第十一条</w:t>
      </w:r>
      <w:r>
        <w:rPr>
          <w:rFonts w:hint="eastAsia" w:ascii="仿宋_GB2312" w:hAnsi="仿宋_GB2312" w:eastAsia="仿宋_GB2312" w:cs="仿宋_GB2312"/>
          <w:i w:val="0"/>
          <w:iCs w:val="0"/>
          <w:caps w:val="0"/>
          <w:color w:val="auto"/>
          <w:spacing w:val="15"/>
          <w:sz w:val="32"/>
          <w:szCs w:val="32"/>
          <w:shd w:val="clear" w:fill="FFFFFF"/>
        </w:rPr>
        <w:t>市、县（市、区）人民政府应当发挥政府引导作用，加强产业生态链建设，完善产业体系布局，降低市场主体采购、运输、生产、流通和交易成本，增强本地区产业发展的便利化水平。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第十二条</w:t>
      </w:r>
      <w:r>
        <w:rPr>
          <w:rFonts w:hint="eastAsia" w:ascii="仿宋_GB2312" w:hAnsi="仿宋_GB2312" w:eastAsia="仿宋_GB2312" w:cs="仿宋_GB2312"/>
          <w:i w:val="0"/>
          <w:iCs w:val="0"/>
          <w:caps w:val="0"/>
          <w:color w:val="auto"/>
          <w:spacing w:val="15"/>
          <w:sz w:val="32"/>
          <w:szCs w:val="32"/>
          <w:shd w:val="clear" w:fill="FFFFFF"/>
        </w:rPr>
        <w:t>国家机关、国有企事业单位应当依法主动、及时向市场主体支付账款，大型企业不得利用优势地位拖欠中小微企业账款。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及其有关部门应当加大对国家机关、国有企事业单位拖欠市场主体账款的清理力度，并通过加强预算管理、严格责任追究等措施，建立防范和治理国家机关、国有企事业单位拖欠市场主体账款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及其有关部门从中小企业采购货物、工程、服务的，应当自交付之日起三十日内支付款项；合同另有约定的，付款期限不得超过六十日。合同约定采取履行进度结算、定期结算等结算方式的，付款期限应当自双方确认结算金额之日起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第十三条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和工作人员应当依法保护市场主体经营自主权、财产权等合法权益，不得干预应当由市场主体依法自主决策的各类事项，不得对市场主体实施任何形式的摊派，不得干扰市场主体正常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第十四条</w:t>
      </w:r>
      <w:r>
        <w:rPr>
          <w:rFonts w:hint="eastAsia" w:ascii="仿宋_GB2312" w:hAnsi="仿宋_GB2312" w:eastAsia="仿宋_GB2312" w:cs="仿宋_GB2312"/>
          <w:i w:val="0"/>
          <w:iCs w:val="0"/>
          <w:caps w:val="0"/>
          <w:color w:val="auto"/>
          <w:spacing w:val="15"/>
          <w:sz w:val="32"/>
          <w:szCs w:val="32"/>
          <w:shd w:val="clear" w:fill="FFFFFF"/>
        </w:rPr>
        <w:t>发展改革、工业和信息化、人力资源社会保障、自然资源和规划、税务等部门应当依托门户网站、在线服务平台、政务服务机构等，依法公开涉及市场主体的规划、产业、税费、融资、奖励、补贴、创业、创新、人才、市场等相关政策，确保市场主体能够及时准确了解掌握相关信息，保障符合条件的市场主体依法及时享受相关惠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第十五条</w:t>
      </w:r>
      <w:r>
        <w:rPr>
          <w:rFonts w:hint="eastAsia" w:ascii="仿宋_GB2312" w:hAnsi="仿宋_GB2312" w:eastAsia="仿宋_GB2312" w:cs="仿宋_GB2312"/>
          <w:i w:val="0"/>
          <w:iCs w:val="0"/>
          <w:caps w:val="0"/>
          <w:color w:val="auto"/>
          <w:spacing w:val="15"/>
          <w:sz w:val="32"/>
          <w:szCs w:val="32"/>
          <w:shd w:val="clear" w:fill="FFFFFF"/>
        </w:rPr>
        <w:t>教育、公安、人力资源社会保障、住房城乡建设、卫生健康等部门应当制定人才引进支持政策，建立完善人才任职、户籍、住房、社保、医疗、子女教育、家属就业等全方位的人才保障体系，在开发区及其他人才密集区周边建设教育、医疗及其他生活配套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第十六条</w:t>
      </w:r>
      <w:r>
        <w:rPr>
          <w:rFonts w:hint="eastAsia" w:ascii="仿宋_GB2312" w:hAnsi="仿宋_GB2312" w:eastAsia="仿宋_GB2312" w:cs="仿宋_GB2312"/>
          <w:i w:val="0"/>
          <w:iCs w:val="0"/>
          <w:caps w:val="0"/>
          <w:color w:val="auto"/>
          <w:spacing w:val="15"/>
          <w:sz w:val="32"/>
          <w:szCs w:val="32"/>
          <w:shd w:val="clear" w:fill="FFFFFF"/>
        </w:rPr>
        <w:t>市、县（市、区）人民政府应当建立健全人力资源服务体制机制，完善人才引进、培养、激励、保障等政策措施，为优化营商环境提供人力资源支撑。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教育、司法行政、人力资源社会保障、市场监管等部门应当依法引进和培育法律服务、知识产权、战略咨询、人力资源、职业技术培训、数据分析等第三方服务机构，为市场主体在法律、知识产权、创业、政策、人才、管理等方面提供优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第十七条</w:t>
      </w:r>
      <w:r>
        <w:rPr>
          <w:rFonts w:hint="eastAsia" w:ascii="仿宋_GB2312" w:hAnsi="仿宋_GB2312" w:eastAsia="仿宋_GB2312" w:cs="仿宋_GB2312"/>
          <w:i w:val="0"/>
          <w:iCs w:val="0"/>
          <w:caps w:val="0"/>
          <w:color w:val="auto"/>
          <w:spacing w:val="15"/>
          <w:sz w:val="32"/>
          <w:szCs w:val="32"/>
          <w:shd w:val="clear" w:fill="FFFFFF"/>
        </w:rPr>
        <w:t>工业和信息化、住房城乡建设、城市管理、市场监管、邮政管理等部门应当建立健全监督机制，加强对供水、供电、供气、供热、排水、污水处理、通信、邮政等公用企事业单位服务范围、标准、收费、流程、完成时限等运营和服务事项的监督管理，依法禁止公用企事业单位实施滥用市场支配地位的行为，确保市场主体获得安全、方便、快捷、稳定和价格合理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第十八条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市、县（市、区）人民政府及其有关部门应当建立分级联系企业制度，明确专门人员，依法协调、督促问题解决。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发展改革、工业和信息化、民政、住房城乡建设、商务、市场监管等部门应当建立健全政企沟通机制，畅通政企沟通渠道，定期组织企业、行业协会商会等参加座谈、调研，听取企业、行业协会商会意见建议，及时了解并依法帮助企业解决发展中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第十九条</w:t>
      </w:r>
      <w:r>
        <w:rPr>
          <w:rFonts w:hint="eastAsia" w:ascii="仿宋_GB2312" w:hAnsi="仿宋_GB2312" w:eastAsia="仿宋_GB2312" w:cs="仿宋_GB2312"/>
          <w:i w:val="0"/>
          <w:iCs w:val="0"/>
          <w:caps w:val="0"/>
          <w:color w:val="auto"/>
          <w:spacing w:val="15"/>
          <w:sz w:val="32"/>
          <w:szCs w:val="32"/>
          <w:shd w:val="clear" w:fill="FFFFFF"/>
        </w:rPr>
        <w:t>市、县（市、区）人民政府可以设立创业投资引导基金，引导社会各类资本投资经济社会发展的重点领域和薄弱环节，支持外部性强、基础性、带动性、战略性特征明显的产业领域及中小企业创业成长，落实财政金融支持返乡创业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第二十条</w:t>
      </w:r>
      <w:r>
        <w:rPr>
          <w:rFonts w:hint="eastAsia" w:ascii="仿宋_GB2312" w:hAnsi="仿宋_GB2312" w:eastAsia="仿宋_GB2312" w:cs="仿宋_GB2312"/>
          <w:i w:val="0"/>
          <w:iCs w:val="0"/>
          <w:caps w:val="0"/>
          <w:color w:val="auto"/>
          <w:spacing w:val="15"/>
          <w:sz w:val="32"/>
          <w:szCs w:val="32"/>
          <w:shd w:val="clear" w:fill="FFFFFF"/>
        </w:rPr>
        <w:t>金融监管部门应当完善金融监管、考核和激励机制，鼓励、引导金融机构开发和推广惠及民营企业、中小微企业和新型农业经营主体的金融产品，增加信贷投放，合理增加中长期贷款和信用贷款支持，简化贷款手续，降低综合融资成本，提高民营企业、中小微企业和新型农业经营主体融资便利度、申贷获得率和信贷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鼓励、支持保险机构创新信用保证保险产品，加大对中小微企业融资保险支持。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第二十一条</w:t>
      </w:r>
      <w:r>
        <w:rPr>
          <w:rFonts w:hint="eastAsia" w:ascii="仿宋_GB2312" w:hAnsi="仿宋_GB2312" w:eastAsia="仿宋_GB2312" w:cs="仿宋_GB2312"/>
          <w:i w:val="0"/>
          <w:iCs w:val="0"/>
          <w:caps w:val="0"/>
          <w:color w:val="auto"/>
          <w:spacing w:val="15"/>
          <w:sz w:val="32"/>
          <w:szCs w:val="32"/>
          <w:shd w:val="clear" w:fill="FFFFFF"/>
        </w:rPr>
        <w:t>发展改革部门应当依托公共信用信息共享平台，整合各地区、各部门采集的市场主体信用信息，完善市场主体信用档案，实现信用信息互联互通、共享使用，推进信用信息和信用产品应用，依法向社会提供免费的信用信息查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发展改革部门应当依法征集、披露、使用和管理信用信息，坚持合理、适度的原则，规范失信行为认定依据，准确界定信用信息归集范围和严重失信主体名单认定范围，防止失信行为认定和记入信用记录泛化、扩大化，不得违法设立信用信息平台，不得过度采集信用信息，不得滥用失信惩戒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第二十二条</w:t>
      </w:r>
      <w:r>
        <w:rPr>
          <w:rFonts w:hint="eastAsia" w:ascii="仿宋_GB2312" w:hAnsi="仿宋_GB2312" w:eastAsia="仿宋_GB2312" w:cs="仿宋_GB2312"/>
          <w:i w:val="0"/>
          <w:iCs w:val="0"/>
          <w:caps w:val="0"/>
          <w:color w:val="auto"/>
          <w:spacing w:val="15"/>
          <w:sz w:val="32"/>
          <w:szCs w:val="32"/>
          <w:shd w:val="clear" w:fill="FFFFFF"/>
        </w:rPr>
        <w:t>市场主体因自然灾害、事故灾难或者公共卫生事件等突发事件造成生产经营困难的，市、县（市、区）人民政府应当依法及时制定救助、安置以及推动经济社会稳定持续发展的相关措施并组织实施。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第三章 政务服务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第二十三条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市、县（市、区）人民政府及其有关部门应当推动政务服务标准化，创新政务服务方式，不断提高政务服务质量，为市场主体提供规范、便利、高效、透明的政务服务。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进驻政务服务事项集中办理场所的各部门和单位应当授权服务窗口直接完成业务办理。不能直接授权的，应当通过在线审批等方式办理，实现政务服务事项依法限时办结。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市、县（市、区）人民政府应当梳理高频高关联公共服务事项，公布本级一窗通办和一网通办的事项清单，并按照规定实施动态调整。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政务服务事项集中办理场所应当设置专门窗口，负责受理、协调和督促办理依法应当办理而未能办理的政务服务等事项。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第二十四条</w:t>
      </w:r>
      <w:r>
        <w:rPr>
          <w:rFonts w:hint="eastAsia" w:ascii="仿宋_GB2312" w:hAnsi="仿宋_GB2312" w:eastAsia="仿宋_GB2312" w:cs="仿宋_GB2312"/>
          <w:i w:val="0"/>
          <w:iCs w:val="0"/>
          <w:caps w:val="0"/>
          <w:color w:val="auto"/>
          <w:spacing w:val="15"/>
          <w:sz w:val="32"/>
          <w:szCs w:val="32"/>
          <w:shd w:val="clear" w:fill="FFFFFF"/>
        </w:rPr>
        <w:t>市、县（市、区）人民政府设立的线下政务服务机构应当按照下列要求提供政务服务：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（一）健全并公开预约办理、预审咨询、一次性告知、限时办结等制度；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（二）设置自助办事设备，指定专门工作人员提供咨询、指导服务；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（三）未提供预约服务的，不得限定每日办件数量；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（四）行政审批事项由两个以上部门审批的，实行联合办理，进行联审联批；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（五）其他应该提供的合理服务。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第二十五条</w:t>
      </w:r>
      <w:r>
        <w:rPr>
          <w:rFonts w:hint="eastAsia" w:ascii="仿宋_GB2312" w:hAnsi="仿宋_GB2312" w:eastAsia="仿宋_GB2312" w:cs="仿宋_GB2312"/>
          <w:i w:val="0"/>
          <w:iCs w:val="0"/>
          <w:caps w:val="0"/>
          <w:color w:val="auto"/>
          <w:spacing w:val="15"/>
          <w:sz w:val="32"/>
          <w:szCs w:val="32"/>
          <w:shd w:val="clear" w:fill="FFFFFF"/>
        </w:rPr>
        <w:t>乡（镇）人民政府、街道办事处以及村、社区，设立便民服务中心或者便民服务站，为市场主体就近办理政务服务事项提供便利。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第二十六条</w:t>
      </w:r>
      <w:r>
        <w:rPr>
          <w:rFonts w:hint="eastAsia" w:ascii="仿宋_GB2312" w:hAnsi="仿宋_GB2312" w:eastAsia="仿宋_GB2312" w:cs="仿宋_GB2312"/>
          <w:i w:val="0"/>
          <w:iCs w:val="0"/>
          <w:caps w:val="0"/>
          <w:color w:val="auto"/>
          <w:spacing w:val="15"/>
          <w:sz w:val="32"/>
          <w:szCs w:val="32"/>
          <w:shd w:val="clear" w:fill="FFFFFF"/>
        </w:rPr>
        <w:t>市人民政府政务服务和大数据管理部门应当组织建立完善全市一体化在线政务服务平台，整合数据资源、优化业务流程、强化部门协同，实现政务服务线上线下融合互通、数据共享、全市通办、异地可办。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市、县（市、区）人民政府有关部门、公用企事业单位应当依据职责，准确、及时、完整地向在线政务服务平台汇集相关信息。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本市推广使用企业码，企业码应当依托全市一体化在线政务服务平台，以二维码为标识，由有关部门、单位、机构共同发起和参与，建立一站式快速服务通道，为企业在线办理涉企政务服务事项提供便利。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第二十七条</w:t>
      </w:r>
      <w:r>
        <w:rPr>
          <w:rFonts w:hint="eastAsia" w:ascii="仿宋_GB2312" w:hAnsi="仿宋_GB2312" w:eastAsia="仿宋_GB2312" w:cs="仿宋_GB2312"/>
          <w:i w:val="0"/>
          <w:iCs w:val="0"/>
          <w:caps w:val="0"/>
          <w:color w:val="auto"/>
          <w:spacing w:val="15"/>
          <w:sz w:val="32"/>
          <w:szCs w:val="32"/>
          <w:shd w:val="clear" w:fill="FFFFFF"/>
        </w:rPr>
        <w:t>政务服务机构、公用企事业单位应当优化服务方式，为特殊群体提供便捷服务。对特殊群体所需的医疗、社保、民政、出入境、生活缴费、资格认证、津贴补贴领取等高频服务事项，应当保留和完善人工服务等传统服务方式，不得限制办理渠道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市场主体、特殊群体等有上门服务需求的，经预约，政务服务机构、公用企事业单位应当提供上门服务。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第二十八条</w:t>
      </w:r>
      <w:r>
        <w:rPr>
          <w:rFonts w:hint="eastAsia" w:ascii="仿宋_GB2312" w:hAnsi="仿宋_GB2312" w:eastAsia="仿宋_GB2312" w:cs="仿宋_GB2312"/>
          <w:i w:val="0"/>
          <w:iCs w:val="0"/>
          <w:caps w:val="0"/>
          <w:color w:val="auto"/>
          <w:spacing w:val="15"/>
          <w:sz w:val="32"/>
          <w:szCs w:val="32"/>
          <w:shd w:val="clear" w:fill="FFFFFF"/>
        </w:rPr>
        <w:t>自然资源和规划、住房城乡建设等部门应当优化工程建设项目审批流程，推动全市工程建设项目审批实现全流程网上办理和立项用地规划许可、工程建设许可、施工许可、竣工验收各阶段实现一窗受理、一网通办、限时办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第二十九条</w:t>
      </w:r>
      <w:r>
        <w:rPr>
          <w:rFonts w:hint="eastAsia" w:ascii="仿宋_GB2312" w:hAnsi="仿宋_GB2312" w:eastAsia="仿宋_GB2312" w:cs="仿宋_GB2312"/>
          <w:i w:val="0"/>
          <w:iCs w:val="0"/>
          <w:caps w:val="0"/>
          <w:color w:val="auto"/>
          <w:spacing w:val="15"/>
          <w:sz w:val="32"/>
          <w:szCs w:val="32"/>
          <w:shd w:val="clear" w:fill="FFFFFF"/>
        </w:rPr>
        <w:t>工程建设项目按照规定需要由多个部门验收的，市、县（市、区）人民政府应当确定牵头部门，组织自然资源和规划、住房城乡建设、人防等部门制定综合验收方案，一次性集中验收、出具验收意见；符合验收备案条件的，自受理之日起七个工作日内出具竣工验收备案文件。法律、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第三十条</w:t>
      </w:r>
      <w:r>
        <w:rPr>
          <w:rFonts w:hint="eastAsia" w:ascii="仿宋_GB2312" w:hAnsi="仿宋_GB2312" w:eastAsia="仿宋_GB2312" w:cs="仿宋_GB2312"/>
          <w:i w:val="0"/>
          <w:iCs w:val="0"/>
          <w:caps w:val="0"/>
          <w:color w:val="auto"/>
          <w:spacing w:val="15"/>
          <w:sz w:val="32"/>
          <w:szCs w:val="32"/>
          <w:shd w:val="clear" w:fill="FFFFFF"/>
        </w:rPr>
        <w:t>市、县（市、区）人民政府应当建立健全本级公共资源交易平台体系，完善公共资源交易制度,实行公共资源交易目录管理，公开交易的规则、流程、结果、监管和信用等信息，保障各类市场主体及时获取相关信息，平等参与交易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工程建设项目招标投标、土地使用权和矿业权出让、国有产权交易、政府采购等，以及适合以市场化方式配置的自然资源、资产股权、环境权等各类公共资源应当依法纳入公共资源交易平台进行交易。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市、县（市、区）人民政府应当全面提升公共资源交易电子化服务能力，推进不见面开标、远程异地评标，降低企业交易成本。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第三十一条</w:t>
      </w:r>
      <w:r>
        <w:rPr>
          <w:rFonts w:hint="eastAsia" w:ascii="仿宋_GB2312" w:hAnsi="仿宋_GB2312" w:eastAsia="仿宋_GB2312" w:cs="仿宋_GB2312"/>
          <w:i w:val="0"/>
          <w:iCs w:val="0"/>
          <w:caps w:val="0"/>
          <w:color w:val="auto"/>
          <w:spacing w:val="15"/>
          <w:sz w:val="32"/>
          <w:szCs w:val="32"/>
          <w:shd w:val="clear" w:fill="FFFFFF"/>
        </w:rPr>
        <w:t>人力资源社会保障部门应当为市场主体提供用工指导、政策咨询、劳动关系协调等服务，组织用工企业加强与中介服务机构、大中专院校及求职者对接，引导有需求的市场主体通过用工余缺调剂开展共享用工，提高人力资源配置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第三十二条</w:t>
      </w:r>
      <w:r>
        <w:rPr>
          <w:rFonts w:hint="eastAsia" w:ascii="仿宋_GB2312" w:hAnsi="仿宋_GB2312" w:eastAsia="仿宋_GB2312" w:cs="仿宋_GB2312"/>
          <w:i w:val="0"/>
          <w:iCs w:val="0"/>
          <w:caps w:val="0"/>
          <w:color w:val="auto"/>
          <w:spacing w:val="15"/>
          <w:sz w:val="32"/>
          <w:szCs w:val="32"/>
          <w:shd w:val="clear" w:fill="FFFFFF"/>
        </w:rPr>
        <w:t>人力资源社会保障、医疗保障、住房公积金、税务等部门或者单位在确保信息安全的前提下，应当为市场主体缴纳税费提供下列便利措施：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（一）推动社保、医保、住房公积金等合并申报及缴纳，减少市场主体缴纳次数和办理时间；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（二）推进税费事项网上办、掌上办，拓展非接触式办税缴费服务；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（三）严格执行增值税等税收优惠政策申报程序，不得增设流转环节；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（四）运用信息化手段及时对市场主体进行纳税预警提醒；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（五）推广使用缴费电子凭证、增值税电子专用发票以及其他电子票据、凭证；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（六）推动落实涉税服务事项异地通办；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（七）其他应当提供的便利措施。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第三十三条</w:t>
      </w:r>
      <w:r>
        <w:rPr>
          <w:rFonts w:hint="eastAsia" w:ascii="仿宋_GB2312" w:hAnsi="仿宋_GB2312" w:eastAsia="仿宋_GB2312" w:cs="仿宋_GB2312"/>
          <w:i w:val="0"/>
          <w:iCs w:val="0"/>
          <w:caps w:val="0"/>
          <w:color w:val="auto"/>
          <w:spacing w:val="15"/>
          <w:sz w:val="32"/>
          <w:szCs w:val="32"/>
          <w:shd w:val="clear" w:fill="FFFFFF"/>
        </w:rPr>
        <w:t>本市实行政务服务评价制度。所有政务服务事项应当纳入政务服务评价体系，评价结果及整改回复情况向社会公开。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第四章 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第三十四条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制定或者修改与市场主体生产经营活动密切相关的政策措施，应当为市场主体留出一般不少于三十日的适应调整期；涉及行业限制性措施调整的，在听取相关行业企业意见的基础上合理设置缓冲过渡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第三十五条</w:t>
      </w:r>
      <w:r>
        <w:rPr>
          <w:rFonts w:hint="eastAsia" w:ascii="仿宋_GB2312" w:hAnsi="仿宋_GB2312" w:eastAsia="仿宋_GB2312" w:cs="仿宋_GB2312"/>
          <w:i w:val="0"/>
          <w:iCs w:val="0"/>
          <w:caps w:val="0"/>
          <w:color w:val="auto"/>
          <w:spacing w:val="15"/>
          <w:sz w:val="32"/>
          <w:szCs w:val="32"/>
          <w:shd w:val="clear" w:fill="FFFFFF"/>
        </w:rPr>
        <w:t>市、县（市、区）人民政府应当建立知识产权保护和创新激励机制，制定并落实对企业创新奖励、补贴政策。鼓励企业加大专利申请力度，加大研发投入；鼓励知识产权成果转化、交易和应用。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场监管部门应当建立健全知识产权综合管理、举报、投诉、维权、援助以及跨区域执法协作机制，依法保护知识产权权利主体的合法权益，加强监督检查，查处知识产权违法行为,打击假冒伪劣产品，净化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第三十六条</w:t>
      </w:r>
      <w:r>
        <w:rPr>
          <w:rFonts w:hint="eastAsia" w:ascii="仿宋_GB2312" w:hAnsi="仿宋_GB2312" w:eastAsia="仿宋_GB2312" w:cs="仿宋_GB2312"/>
          <w:i w:val="0"/>
          <w:iCs w:val="0"/>
          <w:caps w:val="0"/>
          <w:color w:val="auto"/>
          <w:spacing w:val="15"/>
          <w:sz w:val="32"/>
          <w:szCs w:val="32"/>
          <w:shd w:val="clear" w:fill="FFFFFF"/>
        </w:rPr>
        <w:t>市、县（市、区）人民政府有关部门应当按照教育与处罚相结合原则，对市场主体实行下列柔性执法方式：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（一）采用告知、建议、教育和劝导，预防违法违规行为；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（二）采用约谈、告诫或者行政指导纠正轻微违法违规行为；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（三）通过行政调解化解矛盾纠纷；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（四）采用行政协议规范政府、行政机关和市场主体的权利和义务；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（五）其他非强制性执法方式。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第三十七条</w:t>
      </w:r>
      <w:r>
        <w:rPr>
          <w:rFonts w:hint="eastAsia" w:ascii="仿宋_GB2312" w:hAnsi="仿宋_GB2312" w:eastAsia="仿宋_GB2312" w:cs="仿宋_GB2312"/>
          <w:i w:val="0"/>
          <w:iCs w:val="0"/>
          <w:caps w:val="0"/>
          <w:color w:val="auto"/>
          <w:spacing w:val="15"/>
          <w:sz w:val="32"/>
          <w:szCs w:val="32"/>
          <w:shd w:val="clear" w:fill="FFFFFF"/>
        </w:rPr>
        <w:t>市、县（市、区）人民政府应当建立联合执法机制，推进行政部门执法标准互通、执法信息互联、处理结果互认，不得多头执法、越权执法、过度执法。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同一部门对市场主体实施多项执法检查的，应当合并进行；多个部门对同一市场主体进行检查的，由本级人民政府指定部门组织实施联合检查。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第三十八条</w:t>
      </w:r>
      <w:r>
        <w:rPr>
          <w:rFonts w:hint="eastAsia" w:ascii="仿宋_GB2312" w:hAnsi="仿宋_GB2312" w:eastAsia="仿宋_GB2312" w:cs="仿宋_GB2312"/>
          <w:i w:val="0"/>
          <w:iCs w:val="0"/>
          <w:caps w:val="0"/>
          <w:color w:val="auto"/>
          <w:spacing w:val="15"/>
          <w:sz w:val="32"/>
          <w:szCs w:val="32"/>
          <w:shd w:val="clear" w:fill="FFFFFF"/>
        </w:rPr>
        <w:t>市、县（市、区）人民政府有关部门实施行政强制措施，应当坚持合法、适当、教育与强制相结合的原则。严禁违反法定权限、范围、条件、程序对市场主体的财产和企业经营者个人财产实施查封、冻结和扣押等行政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市、县（市、区）人民政府有关部门作出吊销许可证件、责令停产停业、责令关闭等行政处罚决定，应当坚持合法、适当、教育与处罚相结合的原则，限定在必需的范围内，尽可能减少对市场主体正常生产经营活动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第三十九条</w:t>
      </w:r>
      <w:r>
        <w:rPr>
          <w:rFonts w:hint="eastAsia" w:ascii="仿宋_GB2312" w:hAnsi="仿宋_GB2312" w:eastAsia="仿宋_GB2312" w:cs="仿宋_GB2312"/>
          <w:i w:val="0"/>
          <w:iCs w:val="0"/>
          <w:caps w:val="0"/>
          <w:color w:val="auto"/>
          <w:spacing w:val="15"/>
          <w:sz w:val="32"/>
          <w:szCs w:val="32"/>
          <w:shd w:val="clear" w:fill="FFFFFF"/>
        </w:rPr>
        <w:t>市、县（市、区）人民政府及其有关部门对市场主体采取限产、停产等应急管理措施的，应当严格依照相关法律、法规的规定实施，并根据市场主体的具体生产经营情况采取相应措施，减少对市场主体生产经营活动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除涉及人民群众生命安全、发生重特大事故或者举办国家重大活动，并经有权机关依法批准外，不得在相关区域采取要求相关行业、领域的市场主体普遍停产、停业的措施。确需采取普遍停产、停业措施的，应当按照法定程序，依法审慎确定实施范围并向社会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第四十条</w:t>
      </w:r>
      <w:r>
        <w:rPr>
          <w:rFonts w:hint="eastAsia" w:ascii="仿宋_GB2312" w:hAnsi="仿宋_GB2312" w:eastAsia="仿宋_GB2312" w:cs="仿宋_GB2312"/>
          <w:i w:val="0"/>
          <w:iCs w:val="0"/>
          <w:caps w:val="0"/>
          <w:color w:val="auto"/>
          <w:spacing w:val="15"/>
          <w:sz w:val="32"/>
          <w:szCs w:val="32"/>
          <w:shd w:val="clear" w:fill="FFFFFF"/>
        </w:rPr>
        <w:t>审判机关应当推进民事诉讼繁简分流机制改革，严格遵守审限规定，充分运用商事纠纷速裁机制，依法压缩商事纠纷处理时限，提高审判效率。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相关部门应当与审判机关建立信息共享机制，支持、协助审判机关依法查询有关市场主体的身份、财产权利、市场交易等信息，依法协助审判机关对涉案不动产、动产、银行存款、股权、知识产权及其他财产权利实施网络查控和依法处置，提高财产查控和强制执行效率;公安机关应当依法及时收押审判机关决定羁押的人员，严厉打击拒不执行判决、裁定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审判机关与仲裁机构应当建立有效衔接的工作机制。审判机关应当依法加强对仲裁案件保全的支持力度。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第四十一条</w:t>
      </w:r>
      <w:r>
        <w:rPr>
          <w:rFonts w:hint="eastAsia" w:ascii="仿宋_GB2312" w:hAnsi="仿宋_GB2312" w:eastAsia="仿宋_GB2312" w:cs="仿宋_GB2312"/>
          <w:i w:val="0"/>
          <w:iCs w:val="0"/>
          <w:caps w:val="0"/>
          <w:color w:val="auto"/>
          <w:spacing w:val="15"/>
          <w:sz w:val="32"/>
          <w:szCs w:val="32"/>
          <w:shd w:val="clear" w:fill="FFFFFF"/>
        </w:rPr>
        <w:t>审判机关、检察机关和公安机关应当审慎对市场主体的法定代表人、主要管理人员以及实际控制人采取限制人身自由的措施，依法需要采取限制人身自由措施的，应当严格依照法定条件和法定程序进行。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shd w:val="clear" w:fill="FFFFFF"/>
        </w:rPr>
        <w:t>审判机关、检察机关和公安机关依法需要对市场主体及其法定代表人、主要管理人员、实际控制人的涉案财物采取查封、扣押、冻结等措施的，不得超权限、超范围、超数额、超时限，并有效保护利害关系人的合法权益，减少对市场主体正常生产经营的不利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第四十二条</w:t>
      </w:r>
      <w:r>
        <w:rPr>
          <w:rFonts w:hint="eastAsia" w:ascii="仿宋_GB2312" w:hAnsi="仿宋_GB2312" w:eastAsia="仿宋_GB2312" w:cs="仿宋_GB2312"/>
          <w:i w:val="0"/>
          <w:iCs w:val="0"/>
          <w:caps w:val="0"/>
          <w:color w:val="auto"/>
          <w:spacing w:val="15"/>
          <w:sz w:val="32"/>
          <w:szCs w:val="32"/>
          <w:shd w:val="clear" w:fill="FFFFFF"/>
        </w:rPr>
        <w:t>工业和信息化、司法行政、商务、市场监管等部门应当加强法治宣传教育，促进市场主体法治化建设，支持、帮助市场主体建立健全体制机制，提高依法经营水平，增强综合竞争力。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第四十三条</w:t>
      </w:r>
      <w:r>
        <w:rPr>
          <w:rFonts w:hint="eastAsia" w:ascii="仿宋_GB2312" w:hAnsi="仿宋_GB2312" w:eastAsia="仿宋_GB2312" w:cs="仿宋_GB2312"/>
          <w:i w:val="0"/>
          <w:iCs w:val="0"/>
          <w:caps w:val="0"/>
          <w:color w:val="auto"/>
          <w:spacing w:val="15"/>
          <w:sz w:val="32"/>
          <w:szCs w:val="32"/>
          <w:shd w:val="clear" w:fill="FFFFFF"/>
        </w:rPr>
        <w:t>市、县（市、区）人民代表大会常务委员会可以通过听取和审议专项工作报告、执法检查、规范性文件备案审查、专题询问、质询、特定问题调查等方式，加强对优化营商环境工作的监督，检查有关营商环境方面法律、法规的实施情况，对优化营商环境工作中的重大事项和项目作出决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第四十四条</w:t>
      </w:r>
      <w:r>
        <w:rPr>
          <w:rFonts w:hint="eastAsia" w:ascii="仿宋_GB2312" w:hAnsi="仿宋_GB2312" w:eastAsia="仿宋_GB2312" w:cs="仿宋_GB2312"/>
          <w:i w:val="0"/>
          <w:iCs w:val="0"/>
          <w:caps w:val="0"/>
          <w:color w:val="auto"/>
          <w:spacing w:val="15"/>
          <w:sz w:val="32"/>
          <w:szCs w:val="32"/>
          <w:shd w:val="clear" w:fill="FFFFFF"/>
        </w:rPr>
        <w:t>违反本条例规定的行为，法律、法规已有法律责任规定的，从其规定。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第四十五条</w:t>
      </w:r>
      <w:r>
        <w:rPr>
          <w:rFonts w:hint="eastAsia" w:ascii="仿宋_GB2312" w:hAnsi="仿宋_GB2312" w:eastAsia="仿宋_GB2312" w:cs="仿宋_GB2312"/>
          <w:i w:val="0"/>
          <w:iCs w:val="0"/>
          <w:caps w:val="0"/>
          <w:color w:val="auto"/>
          <w:spacing w:val="15"/>
          <w:sz w:val="32"/>
          <w:szCs w:val="32"/>
          <w:shd w:val="clear" w:fill="FFFFFF"/>
        </w:rPr>
        <w:t>各级人民政府和有关部门及其工作人员有违反本条例行为的，由法律、法规规定的相关主管机关责令改正；情节严重的，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第四十六条</w:t>
      </w:r>
      <w:r>
        <w:rPr>
          <w:rFonts w:hint="eastAsia" w:ascii="仿宋_GB2312" w:hAnsi="仿宋_GB2312" w:eastAsia="仿宋_GB2312" w:cs="仿宋_GB2312"/>
          <w:i w:val="0"/>
          <w:iCs w:val="0"/>
          <w:caps w:val="0"/>
          <w:color w:val="auto"/>
          <w:spacing w:val="15"/>
          <w:sz w:val="32"/>
          <w:szCs w:val="32"/>
          <w:shd w:val="clear" w:fill="FFFFFF"/>
        </w:rPr>
        <w:t>高新技术产业开发区、城乡一体化示范区、官庄工区、鸭河工区和卧龙综合保税区等管委会根据市人民政府的授权，依据本条例做好本辖区优化营商环境工作。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03"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i w:val="0"/>
          <w:iCs w:val="0"/>
          <w:caps w:val="0"/>
          <w:color w:val="auto"/>
          <w:spacing w:val="15"/>
          <w:sz w:val="32"/>
          <w:szCs w:val="32"/>
          <w:shd w:val="clear" w:fill="FFFFFF"/>
        </w:rPr>
        <w:t>第四十七条</w:t>
      </w:r>
      <w:r>
        <w:rPr>
          <w:rFonts w:hint="eastAsia" w:ascii="仿宋_GB2312" w:hAnsi="仿宋_GB2312" w:eastAsia="仿宋_GB2312" w:cs="仿宋_GB2312"/>
          <w:i w:val="0"/>
          <w:iCs w:val="0"/>
          <w:caps w:val="0"/>
          <w:color w:val="auto"/>
          <w:spacing w:val="15"/>
          <w:sz w:val="32"/>
          <w:szCs w:val="32"/>
          <w:shd w:val="clear" w:fill="FFFFFF"/>
        </w:rPr>
        <w:t>本条例自2022年10月1日起施行。</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DE3NjgwMDZlZjhlMjk3NWNkNTE2MDY4NWU5NDcifQ=="/>
  </w:docVars>
  <w:rsids>
    <w:rsidRoot w:val="08C401ED"/>
    <w:rsid w:val="08C401ED"/>
    <w:rsid w:val="41F36E26"/>
    <w:rsid w:val="4744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7047</Words>
  <Characters>7060</Characters>
  <Lines>0</Lines>
  <Paragraphs>0</Paragraphs>
  <TotalTime>9</TotalTime>
  <ScaleCrop>false</ScaleCrop>
  <LinksUpToDate>false</LinksUpToDate>
  <CharactersWithSpaces>7077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2023-03-06T08:28:00Z</dcterms:created>
  <dc:creator>小房子</dc:creator>
  <cp:lastModifiedBy>娜塔莎</cp:lastModifiedBy>
  <dcterms:modified xsi:type="dcterms:W3CDTF">2023-04-03T07:41:35Z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C99816AF4AE0490D80D3364B274553C3</vt:lpwstr>
  </property>
</Properties>
</file>